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A464" w14:textId="77777777" w:rsidR="00037B25" w:rsidRPr="00037B25" w:rsidRDefault="00037B25" w:rsidP="00037B25">
      <w:pPr>
        <w:rPr>
          <w:b/>
          <w:bCs/>
          <w:sz w:val="28"/>
          <w:szCs w:val="28"/>
          <w:lang w:val="en-IN"/>
        </w:rPr>
      </w:pPr>
    </w:p>
    <w:p w14:paraId="623874B8" w14:textId="72968538" w:rsidR="00037B25" w:rsidRPr="00037B25" w:rsidRDefault="00037B25" w:rsidP="00037B25">
      <w:pPr>
        <w:jc w:val="center"/>
        <w:rPr>
          <w:sz w:val="28"/>
          <w:szCs w:val="28"/>
          <w:lang w:val="en-IN"/>
        </w:rPr>
      </w:pPr>
      <w:r w:rsidRPr="00037B25">
        <w:rPr>
          <w:b/>
          <w:bCs/>
          <w:sz w:val="28"/>
          <w:szCs w:val="28"/>
          <w:lang w:val="en-IN"/>
        </w:rPr>
        <w:t>BPCL Launches Sports Scholarship Initiative to Empower Young Athletes</w:t>
      </w:r>
    </w:p>
    <w:p w14:paraId="74317A93" w14:textId="77777777" w:rsidR="00037B25" w:rsidRPr="00037B25" w:rsidRDefault="00037B25" w:rsidP="00037B25">
      <w:pPr>
        <w:jc w:val="both"/>
        <w:rPr>
          <w:sz w:val="26"/>
          <w:szCs w:val="26"/>
          <w:lang w:val="en-IN"/>
        </w:rPr>
      </w:pPr>
    </w:p>
    <w:p w14:paraId="2AE29495" w14:textId="42767A5E" w:rsidR="00037B25" w:rsidRPr="00037B25" w:rsidRDefault="00037B25" w:rsidP="00037B25">
      <w:pPr>
        <w:jc w:val="both"/>
        <w:rPr>
          <w:sz w:val="24"/>
          <w:szCs w:val="24"/>
          <w:lang w:val="en-IN"/>
        </w:rPr>
      </w:pPr>
      <w:r w:rsidRPr="00037B25">
        <w:rPr>
          <w:b/>
          <w:bCs/>
          <w:sz w:val="24"/>
          <w:szCs w:val="24"/>
          <w:lang w:val="en-IN"/>
        </w:rPr>
        <w:t xml:space="preserve">Mumbai, </w:t>
      </w:r>
      <w:r w:rsidR="0015218A">
        <w:rPr>
          <w:b/>
          <w:bCs/>
          <w:sz w:val="24"/>
          <w:szCs w:val="24"/>
          <w:lang w:val="en-IN"/>
        </w:rPr>
        <w:t>April 3, 2025</w:t>
      </w:r>
      <w:r w:rsidRPr="00037B25">
        <w:rPr>
          <w:sz w:val="24"/>
          <w:szCs w:val="24"/>
          <w:lang w:val="en-IN"/>
        </w:rPr>
        <w:t xml:space="preserve">: </w:t>
      </w:r>
      <w:r w:rsidRPr="00037B25">
        <w:rPr>
          <w:rFonts w:ascii="Calibri" w:hAnsi="Calibri" w:cs="Calibri"/>
          <w:b/>
          <w:bCs/>
          <w:sz w:val="24"/>
          <w:szCs w:val="24"/>
        </w:rPr>
        <w:t>Bharat Petroleum Corporation Limited (BPCL),</w:t>
      </w:r>
      <w:r w:rsidRPr="00037B25">
        <w:rPr>
          <w:rFonts w:ascii="Calibri" w:hAnsi="Calibri" w:cs="Calibri"/>
          <w:sz w:val="24"/>
          <w:szCs w:val="24"/>
        </w:rPr>
        <w:t xml:space="preserve"> a Fortune Global 500 company, today announced the </w:t>
      </w:r>
      <w:r w:rsidRPr="00037B25">
        <w:rPr>
          <w:sz w:val="24"/>
          <w:szCs w:val="24"/>
          <w:lang w:val="en-IN"/>
        </w:rPr>
        <w:t xml:space="preserve">launch </w:t>
      </w:r>
      <w:r>
        <w:rPr>
          <w:sz w:val="24"/>
          <w:szCs w:val="24"/>
          <w:lang w:val="en-IN"/>
        </w:rPr>
        <w:t xml:space="preserve">of </w:t>
      </w:r>
      <w:r w:rsidRPr="00037B25">
        <w:rPr>
          <w:sz w:val="24"/>
          <w:szCs w:val="24"/>
          <w:lang w:val="en-IN"/>
        </w:rPr>
        <w:t xml:space="preserve">the </w:t>
      </w:r>
      <w:r w:rsidRPr="00037B25">
        <w:rPr>
          <w:b/>
          <w:bCs/>
          <w:sz w:val="24"/>
          <w:szCs w:val="24"/>
          <w:lang w:val="en-IN"/>
        </w:rPr>
        <w:t>BPCL Sports Scholarship Initiative</w:t>
      </w:r>
      <w:r w:rsidRPr="00037B25">
        <w:rPr>
          <w:sz w:val="24"/>
          <w:szCs w:val="24"/>
          <w:lang w:val="en-IN"/>
        </w:rPr>
        <w:t xml:space="preserve"> to strengthen its commitment to developing national sports talent. This program offers financial support to promising young athletes, allowing them to concentrate on their training and competitive goals nationally and internationally.</w:t>
      </w:r>
      <w:r w:rsidR="008B2573">
        <w:rPr>
          <w:sz w:val="24"/>
          <w:szCs w:val="24"/>
          <w:lang w:val="en-IN"/>
        </w:rPr>
        <w:t xml:space="preserve"> </w:t>
      </w:r>
    </w:p>
    <w:p w14:paraId="6D8292B7" w14:textId="77777777" w:rsidR="00037B25" w:rsidRPr="00037B25" w:rsidRDefault="00037B25" w:rsidP="00037B25">
      <w:pPr>
        <w:jc w:val="both"/>
        <w:rPr>
          <w:sz w:val="24"/>
          <w:szCs w:val="24"/>
          <w:lang w:val="en-IN"/>
        </w:rPr>
      </w:pPr>
    </w:p>
    <w:p w14:paraId="516AD485" w14:textId="29383CD5" w:rsidR="00037B25" w:rsidRPr="00037B25" w:rsidRDefault="00037B25" w:rsidP="00037B25">
      <w:pPr>
        <w:jc w:val="both"/>
        <w:rPr>
          <w:sz w:val="24"/>
          <w:szCs w:val="24"/>
          <w:lang w:val="en-IN"/>
        </w:rPr>
      </w:pPr>
      <w:r w:rsidRPr="00037B25">
        <w:rPr>
          <w:sz w:val="24"/>
          <w:szCs w:val="24"/>
          <w:lang w:val="en-IN"/>
        </w:rPr>
        <w:t xml:space="preserve">The initiative is open to Indian athletes aged </w:t>
      </w:r>
      <w:r w:rsidRPr="00037B25">
        <w:rPr>
          <w:b/>
          <w:bCs/>
          <w:sz w:val="24"/>
          <w:szCs w:val="24"/>
          <w:lang w:val="en-IN"/>
        </w:rPr>
        <w:t>13 to 25</w:t>
      </w:r>
      <w:r w:rsidRPr="00037B25">
        <w:rPr>
          <w:sz w:val="24"/>
          <w:szCs w:val="24"/>
          <w:lang w:val="en-IN"/>
        </w:rPr>
        <w:t xml:space="preserve"> across various sports, including Athletics, Badminton, Cricket, Hockey, Chess, Tennis, and more. Chosen participants will benefit from </w:t>
      </w:r>
      <w:r w:rsidRPr="00037B25">
        <w:rPr>
          <w:b/>
          <w:bCs/>
          <w:sz w:val="24"/>
          <w:szCs w:val="24"/>
          <w:lang w:val="en-IN"/>
        </w:rPr>
        <w:t>a monthly stipend, a sports kit, and coverage for tournament expenses</w:t>
      </w:r>
      <w:r w:rsidRPr="00037B25">
        <w:rPr>
          <w:sz w:val="24"/>
          <w:szCs w:val="24"/>
          <w:lang w:val="en-IN"/>
        </w:rPr>
        <w:t>, enabling them to enhance their skills without financial burdens.</w:t>
      </w:r>
    </w:p>
    <w:p w14:paraId="44D72FCE" w14:textId="77777777" w:rsidR="00037B25" w:rsidRPr="00037B25" w:rsidRDefault="00037B25" w:rsidP="00037B25">
      <w:pPr>
        <w:jc w:val="both"/>
        <w:rPr>
          <w:sz w:val="24"/>
          <w:szCs w:val="24"/>
          <w:lang w:val="en-IN"/>
        </w:rPr>
      </w:pPr>
    </w:p>
    <w:p w14:paraId="0A67DB98" w14:textId="4543606E" w:rsidR="00037B25" w:rsidRPr="00037B25" w:rsidRDefault="00037B25" w:rsidP="00037B25">
      <w:pPr>
        <w:jc w:val="both"/>
        <w:rPr>
          <w:sz w:val="24"/>
          <w:szCs w:val="24"/>
          <w:lang w:val="en-IN"/>
        </w:rPr>
      </w:pPr>
      <w:r w:rsidRPr="00037B25">
        <w:rPr>
          <w:sz w:val="24"/>
          <w:szCs w:val="24"/>
          <w:lang w:val="en-IN"/>
        </w:rPr>
        <w:t>Scholarships will be granted in three distinct categories:</w:t>
      </w:r>
    </w:p>
    <w:p w14:paraId="4D601190" w14:textId="77777777" w:rsidR="00037B25" w:rsidRPr="00037B25" w:rsidRDefault="00037B25" w:rsidP="00037B25">
      <w:pPr>
        <w:numPr>
          <w:ilvl w:val="0"/>
          <w:numId w:val="24"/>
        </w:numPr>
        <w:jc w:val="both"/>
        <w:rPr>
          <w:sz w:val="24"/>
          <w:szCs w:val="24"/>
          <w:lang w:val="en-IN"/>
        </w:rPr>
      </w:pPr>
      <w:r w:rsidRPr="00037B25">
        <w:rPr>
          <w:b/>
          <w:bCs/>
          <w:sz w:val="24"/>
          <w:szCs w:val="24"/>
          <w:lang w:val="en-IN"/>
        </w:rPr>
        <w:t>Budding Athlete Engagement</w:t>
      </w:r>
      <w:r w:rsidRPr="00037B25">
        <w:rPr>
          <w:sz w:val="24"/>
          <w:szCs w:val="24"/>
          <w:lang w:val="en-IN"/>
        </w:rPr>
        <w:t xml:space="preserve"> (Ages 13-17)</w:t>
      </w:r>
    </w:p>
    <w:p w14:paraId="798E95C1" w14:textId="77777777" w:rsidR="00037B25" w:rsidRPr="00037B25" w:rsidRDefault="00037B25" w:rsidP="00037B25">
      <w:pPr>
        <w:numPr>
          <w:ilvl w:val="0"/>
          <w:numId w:val="24"/>
        </w:numPr>
        <w:jc w:val="both"/>
        <w:rPr>
          <w:sz w:val="24"/>
          <w:szCs w:val="24"/>
          <w:lang w:val="en-IN"/>
        </w:rPr>
      </w:pPr>
      <w:r w:rsidRPr="00037B25">
        <w:rPr>
          <w:b/>
          <w:bCs/>
          <w:sz w:val="24"/>
          <w:szCs w:val="24"/>
          <w:lang w:val="en-IN"/>
        </w:rPr>
        <w:t>Junior Athlete Engagement</w:t>
      </w:r>
      <w:r w:rsidRPr="00037B25">
        <w:rPr>
          <w:sz w:val="24"/>
          <w:szCs w:val="24"/>
          <w:lang w:val="en-IN"/>
        </w:rPr>
        <w:t xml:space="preserve"> (Ages 17-21)</w:t>
      </w:r>
    </w:p>
    <w:p w14:paraId="6E140226" w14:textId="76026789" w:rsidR="00037B25" w:rsidRPr="00037B25" w:rsidRDefault="00037B25" w:rsidP="00037B25">
      <w:pPr>
        <w:numPr>
          <w:ilvl w:val="0"/>
          <w:numId w:val="24"/>
        </w:numPr>
        <w:jc w:val="both"/>
        <w:rPr>
          <w:sz w:val="24"/>
          <w:szCs w:val="24"/>
          <w:lang w:val="en-IN"/>
        </w:rPr>
      </w:pPr>
      <w:r w:rsidRPr="00037B25">
        <w:rPr>
          <w:b/>
          <w:bCs/>
          <w:sz w:val="24"/>
          <w:szCs w:val="24"/>
          <w:lang w:val="en-IN"/>
        </w:rPr>
        <w:t>Elite Athlete Engagement</w:t>
      </w:r>
      <w:r w:rsidRPr="00037B25">
        <w:rPr>
          <w:sz w:val="24"/>
          <w:szCs w:val="24"/>
          <w:lang w:val="en-IN"/>
        </w:rPr>
        <w:t xml:space="preserve"> (Ages 21-25)</w:t>
      </w:r>
      <w:r w:rsidR="009E1AA0">
        <w:rPr>
          <w:sz w:val="24"/>
          <w:szCs w:val="24"/>
          <w:lang w:val="en-IN"/>
        </w:rPr>
        <w:t xml:space="preserve"> </w:t>
      </w:r>
    </w:p>
    <w:p w14:paraId="74780C93" w14:textId="77777777" w:rsidR="00037B25" w:rsidRPr="00037B25" w:rsidRDefault="00037B25" w:rsidP="00037B25">
      <w:pPr>
        <w:jc w:val="both"/>
        <w:rPr>
          <w:sz w:val="24"/>
          <w:szCs w:val="24"/>
          <w:lang w:val="en-IN"/>
        </w:rPr>
      </w:pPr>
    </w:p>
    <w:p w14:paraId="10A36185" w14:textId="52E1FD33" w:rsidR="00037B25" w:rsidRPr="00037B25" w:rsidRDefault="00037B25" w:rsidP="00037B25">
      <w:pPr>
        <w:jc w:val="both"/>
        <w:rPr>
          <w:sz w:val="24"/>
          <w:szCs w:val="24"/>
          <w:lang w:val="en-IN"/>
        </w:rPr>
      </w:pPr>
      <w:r w:rsidRPr="00037B25">
        <w:rPr>
          <w:sz w:val="24"/>
          <w:szCs w:val="24"/>
          <w:lang w:val="en-IN"/>
        </w:rPr>
        <w:t xml:space="preserve">“At BPCL, we are committed to nurturing young sports talent and providing them with the necessary resources to excel. Through this scholarship initiative, we aspire to empower athletes to realize their aspirations and bring pride to the nation,” stated </w:t>
      </w:r>
      <w:r w:rsidR="005C6DDF" w:rsidRPr="005C6DDF">
        <w:rPr>
          <w:b/>
          <w:bCs/>
          <w:sz w:val="24"/>
          <w:szCs w:val="24"/>
          <w:lang w:val="en-IN"/>
        </w:rPr>
        <w:t>Shri</w:t>
      </w:r>
      <w:r w:rsidR="005C6DDF">
        <w:rPr>
          <w:sz w:val="24"/>
          <w:szCs w:val="24"/>
          <w:lang w:val="en-IN"/>
        </w:rPr>
        <w:t xml:space="preserve"> </w:t>
      </w:r>
      <w:r w:rsidR="00833481" w:rsidRPr="00833481">
        <w:rPr>
          <w:b/>
          <w:bCs/>
          <w:sz w:val="24"/>
          <w:szCs w:val="24"/>
          <w:lang w:val="en-IN"/>
        </w:rPr>
        <w:t>R.K. Dubey, Director (HR), BPCL</w:t>
      </w:r>
      <w:r w:rsidRPr="00037B25">
        <w:rPr>
          <w:sz w:val="24"/>
          <w:szCs w:val="24"/>
          <w:lang w:val="en-IN"/>
        </w:rPr>
        <w:t>.</w:t>
      </w:r>
      <w:r w:rsidR="00833481">
        <w:rPr>
          <w:sz w:val="24"/>
          <w:szCs w:val="24"/>
          <w:lang w:val="en-IN"/>
        </w:rPr>
        <w:t xml:space="preserve"> </w:t>
      </w:r>
    </w:p>
    <w:p w14:paraId="3089688B" w14:textId="77777777" w:rsidR="00037B25" w:rsidRDefault="00037B25" w:rsidP="00037B25">
      <w:pPr>
        <w:jc w:val="both"/>
        <w:rPr>
          <w:sz w:val="24"/>
          <w:szCs w:val="24"/>
          <w:lang w:val="en-IN"/>
        </w:rPr>
      </w:pPr>
    </w:p>
    <w:p w14:paraId="6FB9C8C6" w14:textId="3EC89F4A" w:rsidR="00193A6B" w:rsidRDefault="005D5AC4" w:rsidP="00193A6B">
      <w:pPr>
        <w:jc w:val="both"/>
        <w:rPr>
          <w:rFonts w:cstheme="minorHAnsi"/>
          <w:sz w:val="24"/>
          <w:szCs w:val="24"/>
        </w:rPr>
      </w:pPr>
      <w:r w:rsidRPr="005D5AC4">
        <w:rPr>
          <w:rFonts w:cstheme="minorHAnsi"/>
          <w:b/>
          <w:bCs/>
          <w:sz w:val="24"/>
          <w:szCs w:val="24"/>
        </w:rPr>
        <w:t>Supported Sporting Disciplines,</w:t>
      </w:r>
      <w:r w:rsidRPr="005D5AC4">
        <w:rPr>
          <w:rFonts w:cstheme="minorHAnsi"/>
          <w:sz w:val="24"/>
          <w:szCs w:val="24"/>
        </w:rPr>
        <w:t xml:space="preserve"> BPCL’s scholarship program will support athletes in the following disciplines across different categories</w:t>
      </w:r>
      <w:r w:rsidR="00193A6B" w:rsidRPr="005D5AC4">
        <w:rPr>
          <w:rFonts w:cstheme="minorHAnsi"/>
          <w:sz w:val="24"/>
          <w:szCs w:val="24"/>
        </w:rPr>
        <w:t xml:space="preserve">: </w:t>
      </w:r>
      <w:r w:rsidR="006F0B86">
        <w:rPr>
          <w:rFonts w:cstheme="minorHAnsi"/>
          <w:sz w:val="24"/>
          <w:szCs w:val="24"/>
        </w:rPr>
        <w:t xml:space="preserve"> </w:t>
      </w:r>
      <w:r w:rsidR="009E1AA0">
        <w:rPr>
          <w:rFonts w:cstheme="minorHAnsi"/>
          <w:sz w:val="24"/>
          <w:szCs w:val="24"/>
        </w:rPr>
        <w:t xml:space="preserve"> </w:t>
      </w:r>
    </w:p>
    <w:p w14:paraId="3BCC0910" w14:textId="3211F575" w:rsidR="005D5AC4" w:rsidRPr="005D5AC4" w:rsidRDefault="009E1AA0" w:rsidP="00193A6B">
      <w:pPr>
        <w:jc w:val="both"/>
        <w:rPr>
          <w:rFonts w:cstheme="minorHAnsi"/>
          <w:sz w:val="24"/>
          <w:szCs w:val="24"/>
        </w:rPr>
      </w:pPr>
      <w:r>
        <w:rPr>
          <w:rFonts w:cstheme="minorHAnsi"/>
          <w:sz w:val="24"/>
          <w:szCs w:val="24"/>
        </w:rPr>
        <w:t xml:space="preserve"> </w:t>
      </w:r>
    </w:p>
    <w:tbl>
      <w:tblPr>
        <w:tblW w:w="6343" w:type="dxa"/>
        <w:tblInd w:w="1939" w:type="dxa"/>
        <w:tblLook w:val="04A0" w:firstRow="1" w:lastRow="0" w:firstColumn="1" w:lastColumn="0" w:noHBand="0" w:noVBand="1"/>
      </w:tblPr>
      <w:tblGrid>
        <w:gridCol w:w="2116"/>
        <w:gridCol w:w="2497"/>
        <w:gridCol w:w="1730"/>
      </w:tblGrid>
      <w:tr w:rsidR="00193A6B" w:rsidRPr="005D5AC4" w14:paraId="17DCEBE4" w14:textId="77777777" w:rsidTr="005D5AC4">
        <w:trPr>
          <w:trHeight w:val="327"/>
          <w:tblHeader/>
        </w:trPr>
        <w:tc>
          <w:tcPr>
            <w:tcW w:w="2116" w:type="dxa"/>
            <w:tcBorders>
              <w:top w:val="single" w:sz="4" w:space="0" w:color="auto"/>
              <w:left w:val="single" w:sz="4" w:space="0" w:color="auto"/>
              <w:bottom w:val="single" w:sz="4" w:space="0" w:color="auto"/>
              <w:right w:val="single" w:sz="4" w:space="0" w:color="auto"/>
            </w:tcBorders>
            <w:shd w:val="clear" w:color="auto" w:fill="auto"/>
            <w:hideMark/>
          </w:tcPr>
          <w:p w14:paraId="45583736" w14:textId="77777777" w:rsidR="00193A6B" w:rsidRPr="005D5AC4" w:rsidRDefault="00193A6B" w:rsidP="00193A6B">
            <w:pPr>
              <w:contextualSpacing/>
              <w:jc w:val="center"/>
              <w:rPr>
                <w:rFonts w:eastAsia="Times New Roman" w:cstheme="minorHAnsi"/>
                <w:b/>
                <w:bCs/>
                <w:color w:val="000000"/>
                <w:sz w:val="24"/>
                <w:szCs w:val="24"/>
                <w:lang w:eastAsia="en-IN"/>
              </w:rPr>
            </w:pPr>
            <w:r w:rsidRPr="005D5AC4">
              <w:rPr>
                <w:rFonts w:eastAsia="Times New Roman" w:cstheme="minorHAnsi"/>
                <w:b/>
                <w:bCs/>
                <w:color w:val="000000"/>
                <w:sz w:val="24"/>
                <w:szCs w:val="24"/>
                <w:lang w:eastAsia="en-IN"/>
              </w:rPr>
              <w:t xml:space="preserve">Disciplines/ Games </w:t>
            </w:r>
          </w:p>
        </w:tc>
        <w:tc>
          <w:tcPr>
            <w:tcW w:w="2497" w:type="dxa"/>
            <w:tcBorders>
              <w:top w:val="single" w:sz="4" w:space="0" w:color="auto"/>
              <w:left w:val="nil"/>
              <w:bottom w:val="single" w:sz="4" w:space="0" w:color="auto"/>
              <w:right w:val="single" w:sz="4" w:space="0" w:color="auto"/>
            </w:tcBorders>
            <w:shd w:val="clear" w:color="auto" w:fill="auto"/>
            <w:hideMark/>
          </w:tcPr>
          <w:p w14:paraId="644AE004" w14:textId="77777777" w:rsidR="00193A6B" w:rsidRPr="005D5AC4" w:rsidRDefault="00193A6B" w:rsidP="00193A6B">
            <w:pPr>
              <w:contextualSpacing/>
              <w:rPr>
                <w:rFonts w:eastAsia="Times New Roman" w:cstheme="minorHAnsi"/>
                <w:b/>
                <w:bCs/>
                <w:color w:val="000000"/>
                <w:sz w:val="24"/>
                <w:szCs w:val="24"/>
                <w:lang w:eastAsia="en-IN"/>
              </w:rPr>
            </w:pPr>
            <w:r w:rsidRPr="005D5AC4">
              <w:rPr>
                <w:rFonts w:eastAsia="Times New Roman" w:cstheme="minorHAnsi"/>
                <w:b/>
                <w:bCs/>
                <w:color w:val="000000"/>
                <w:sz w:val="24"/>
                <w:szCs w:val="24"/>
                <w:lang w:eastAsia="en-IN"/>
              </w:rPr>
              <w:t>Scholarship Category</w:t>
            </w:r>
          </w:p>
        </w:tc>
        <w:tc>
          <w:tcPr>
            <w:tcW w:w="1730" w:type="dxa"/>
            <w:tcBorders>
              <w:top w:val="single" w:sz="4" w:space="0" w:color="auto"/>
              <w:left w:val="nil"/>
              <w:bottom w:val="single" w:sz="4" w:space="0" w:color="auto"/>
              <w:right w:val="single" w:sz="4" w:space="0" w:color="auto"/>
            </w:tcBorders>
            <w:shd w:val="clear" w:color="auto" w:fill="auto"/>
            <w:hideMark/>
          </w:tcPr>
          <w:p w14:paraId="2780EBA5" w14:textId="77777777" w:rsidR="00193A6B" w:rsidRPr="005D5AC4" w:rsidRDefault="00193A6B" w:rsidP="00193A6B">
            <w:pPr>
              <w:contextualSpacing/>
              <w:rPr>
                <w:rFonts w:eastAsia="Times New Roman" w:cstheme="minorHAnsi"/>
                <w:b/>
                <w:bCs/>
                <w:color w:val="000000"/>
                <w:sz w:val="24"/>
                <w:szCs w:val="24"/>
                <w:lang w:eastAsia="en-IN"/>
              </w:rPr>
            </w:pPr>
            <w:r w:rsidRPr="005D5AC4">
              <w:rPr>
                <w:rFonts w:eastAsia="Times New Roman" w:cstheme="minorHAnsi"/>
                <w:b/>
                <w:bCs/>
                <w:color w:val="000000"/>
                <w:sz w:val="24"/>
                <w:szCs w:val="24"/>
                <w:lang w:eastAsia="en-IN"/>
              </w:rPr>
              <w:t xml:space="preserve">Gender  </w:t>
            </w:r>
          </w:p>
        </w:tc>
      </w:tr>
      <w:tr w:rsidR="00193A6B" w:rsidRPr="005D5AC4" w14:paraId="1C979609"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1152403B"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Athletics</w:t>
            </w:r>
          </w:p>
        </w:tc>
        <w:tc>
          <w:tcPr>
            <w:tcW w:w="2497" w:type="dxa"/>
            <w:tcBorders>
              <w:top w:val="nil"/>
              <w:left w:val="nil"/>
              <w:bottom w:val="single" w:sz="4" w:space="0" w:color="auto"/>
              <w:right w:val="single" w:sz="4" w:space="0" w:color="auto"/>
            </w:tcBorders>
            <w:shd w:val="clear" w:color="auto" w:fill="auto"/>
            <w:noWrap/>
            <w:vAlign w:val="bottom"/>
            <w:hideMark/>
          </w:tcPr>
          <w:p w14:paraId="1B76C5F7"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369566DA"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3B007EAD"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7E638CC4"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Badminton</w:t>
            </w:r>
          </w:p>
        </w:tc>
        <w:tc>
          <w:tcPr>
            <w:tcW w:w="2497" w:type="dxa"/>
            <w:tcBorders>
              <w:top w:val="nil"/>
              <w:left w:val="nil"/>
              <w:bottom w:val="single" w:sz="4" w:space="0" w:color="auto"/>
              <w:right w:val="single" w:sz="4" w:space="0" w:color="auto"/>
            </w:tcBorders>
            <w:shd w:val="clear" w:color="auto" w:fill="auto"/>
            <w:noWrap/>
            <w:vAlign w:val="bottom"/>
            <w:hideMark/>
          </w:tcPr>
          <w:p w14:paraId="4C1C2F91"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Budding &amp; 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7059AAF5"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1978FFFB"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1D088E7D"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Billiards &amp; Snooker</w:t>
            </w:r>
          </w:p>
        </w:tc>
        <w:tc>
          <w:tcPr>
            <w:tcW w:w="2497" w:type="dxa"/>
            <w:tcBorders>
              <w:top w:val="nil"/>
              <w:left w:val="nil"/>
              <w:bottom w:val="single" w:sz="4" w:space="0" w:color="auto"/>
              <w:right w:val="single" w:sz="4" w:space="0" w:color="auto"/>
            </w:tcBorders>
            <w:shd w:val="clear" w:color="auto" w:fill="auto"/>
            <w:noWrap/>
            <w:vAlign w:val="bottom"/>
            <w:hideMark/>
          </w:tcPr>
          <w:p w14:paraId="6C4F0A81"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Elite</w:t>
            </w:r>
          </w:p>
        </w:tc>
        <w:tc>
          <w:tcPr>
            <w:tcW w:w="1730" w:type="dxa"/>
            <w:tcBorders>
              <w:top w:val="nil"/>
              <w:left w:val="nil"/>
              <w:bottom w:val="single" w:sz="4" w:space="0" w:color="auto"/>
              <w:right w:val="single" w:sz="4" w:space="0" w:color="auto"/>
            </w:tcBorders>
            <w:shd w:val="clear" w:color="auto" w:fill="auto"/>
            <w:noWrap/>
            <w:vAlign w:val="bottom"/>
            <w:hideMark/>
          </w:tcPr>
          <w:p w14:paraId="2F52E070"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7727155D"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52010B1C"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Chess</w:t>
            </w:r>
          </w:p>
        </w:tc>
        <w:tc>
          <w:tcPr>
            <w:tcW w:w="2497" w:type="dxa"/>
            <w:tcBorders>
              <w:top w:val="nil"/>
              <w:left w:val="nil"/>
              <w:bottom w:val="single" w:sz="4" w:space="0" w:color="auto"/>
              <w:right w:val="single" w:sz="4" w:space="0" w:color="auto"/>
            </w:tcBorders>
            <w:shd w:val="clear" w:color="auto" w:fill="auto"/>
            <w:noWrap/>
            <w:vAlign w:val="bottom"/>
            <w:hideMark/>
          </w:tcPr>
          <w:p w14:paraId="0D142397"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Budding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58A61957"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0ADFBE34"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316B8D2B"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Cricket</w:t>
            </w:r>
          </w:p>
        </w:tc>
        <w:tc>
          <w:tcPr>
            <w:tcW w:w="2497" w:type="dxa"/>
            <w:tcBorders>
              <w:top w:val="nil"/>
              <w:left w:val="nil"/>
              <w:bottom w:val="single" w:sz="4" w:space="0" w:color="auto"/>
              <w:right w:val="single" w:sz="4" w:space="0" w:color="auto"/>
            </w:tcBorders>
            <w:shd w:val="clear" w:color="auto" w:fill="auto"/>
            <w:noWrap/>
            <w:vAlign w:val="bottom"/>
            <w:hideMark/>
          </w:tcPr>
          <w:p w14:paraId="0613722E"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33101418"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28E1B23C"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4490906E"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Golf</w:t>
            </w:r>
          </w:p>
        </w:tc>
        <w:tc>
          <w:tcPr>
            <w:tcW w:w="2497" w:type="dxa"/>
            <w:tcBorders>
              <w:top w:val="nil"/>
              <w:left w:val="nil"/>
              <w:bottom w:val="single" w:sz="4" w:space="0" w:color="auto"/>
              <w:right w:val="single" w:sz="4" w:space="0" w:color="auto"/>
            </w:tcBorders>
            <w:shd w:val="clear" w:color="auto" w:fill="auto"/>
            <w:noWrap/>
            <w:vAlign w:val="bottom"/>
            <w:hideMark/>
          </w:tcPr>
          <w:p w14:paraId="7901A6FF"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4F707913"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w:t>
            </w:r>
          </w:p>
        </w:tc>
      </w:tr>
      <w:tr w:rsidR="00193A6B" w:rsidRPr="005D5AC4" w14:paraId="11C45A59"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757F6396"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Hockey</w:t>
            </w:r>
          </w:p>
        </w:tc>
        <w:tc>
          <w:tcPr>
            <w:tcW w:w="2497" w:type="dxa"/>
            <w:tcBorders>
              <w:top w:val="nil"/>
              <w:left w:val="nil"/>
              <w:bottom w:val="single" w:sz="4" w:space="0" w:color="auto"/>
              <w:right w:val="single" w:sz="4" w:space="0" w:color="auto"/>
            </w:tcBorders>
            <w:shd w:val="clear" w:color="auto" w:fill="auto"/>
            <w:noWrap/>
            <w:vAlign w:val="bottom"/>
            <w:hideMark/>
          </w:tcPr>
          <w:p w14:paraId="331C6FBF"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64F7CEC5"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77BF8184"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34CAC8B2"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Kabaddi</w:t>
            </w:r>
          </w:p>
        </w:tc>
        <w:tc>
          <w:tcPr>
            <w:tcW w:w="2497" w:type="dxa"/>
            <w:tcBorders>
              <w:top w:val="nil"/>
              <w:left w:val="nil"/>
              <w:bottom w:val="single" w:sz="4" w:space="0" w:color="auto"/>
              <w:right w:val="single" w:sz="4" w:space="0" w:color="auto"/>
            </w:tcBorders>
            <w:shd w:val="clear" w:color="auto" w:fill="auto"/>
            <w:noWrap/>
            <w:vAlign w:val="bottom"/>
            <w:hideMark/>
          </w:tcPr>
          <w:p w14:paraId="62822FA0"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3769FA99"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w:t>
            </w:r>
          </w:p>
        </w:tc>
      </w:tr>
      <w:tr w:rsidR="00193A6B" w:rsidRPr="005D5AC4" w14:paraId="29D50F34"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08D89F2A"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Squash</w:t>
            </w:r>
          </w:p>
        </w:tc>
        <w:tc>
          <w:tcPr>
            <w:tcW w:w="2497" w:type="dxa"/>
            <w:tcBorders>
              <w:top w:val="nil"/>
              <w:left w:val="nil"/>
              <w:bottom w:val="single" w:sz="4" w:space="0" w:color="auto"/>
              <w:right w:val="single" w:sz="4" w:space="0" w:color="auto"/>
            </w:tcBorders>
            <w:shd w:val="clear" w:color="auto" w:fill="auto"/>
            <w:noWrap/>
            <w:vAlign w:val="bottom"/>
            <w:hideMark/>
          </w:tcPr>
          <w:p w14:paraId="795ECB9F"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Budding &amp; 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44B689E6"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7E205699"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6DB4FEC7"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Table Tennis</w:t>
            </w:r>
          </w:p>
        </w:tc>
        <w:tc>
          <w:tcPr>
            <w:tcW w:w="2497" w:type="dxa"/>
            <w:tcBorders>
              <w:top w:val="nil"/>
              <w:left w:val="nil"/>
              <w:bottom w:val="single" w:sz="4" w:space="0" w:color="auto"/>
              <w:right w:val="single" w:sz="4" w:space="0" w:color="auto"/>
            </w:tcBorders>
            <w:shd w:val="clear" w:color="auto" w:fill="auto"/>
            <w:noWrap/>
            <w:vAlign w:val="bottom"/>
            <w:hideMark/>
          </w:tcPr>
          <w:p w14:paraId="539EFDAC"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Budding &amp; 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1576802F"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1FE69227"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39A72F62"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Tennis</w:t>
            </w:r>
          </w:p>
        </w:tc>
        <w:tc>
          <w:tcPr>
            <w:tcW w:w="2497" w:type="dxa"/>
            <w:tcBorders>
              <w:top w:val="nil"/>
              <w:left w:val="nil"/>
              <w:bottom w:val="single" w:sz="4" w:space="0" w:color="auto"/>
              <w:right w:val="single" w:sz="4" w:space="0" w:color="auto"/>
            </w:tcBorders>
            <w:shd w:val="clear" w:color="auto" w:fill="auto"/>
            <w:noWrap/>
            <w:vAlign w:val="bottom"/>
            <w:hideMark/>
          </w:tcPr>
          <w:p w14:paraId="5DD1898F"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4A970D50"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r w:rsidR="00193A6B" w:rsidRPr="005D5AC4" w14:paraId="4EB1D83A"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6B819EB5"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lastRenderedPageBreak/>
              <w:t>Volleyball</w:t>
            </w:r>
          </w:p>
        </w:tc>
        <w:tc>
          <w:tcPr>
            <w:tcW w:w="2497" w:type="dxa"/>
            <w:tcBorders>
              <w:top w:val="nil"/>
              <w:left w:val="nil"/>
              <w:bottom w:val="single" w:sz="4" w:space="0" w:color="auto"/>
              <w:right w:val="single" w:sz="4" w:space="0" w:color="auto"/>
            </w:tcBorders>
            <w:shd w:val="clear" w:color="auto" w:fill="auto"/>
            <w:noWrap/>
            <w:vAlign w:val="bottom"/>
            <w:hideMark/>
          </w:tcPr>
          <w:p w14:paraId="66B27CF6"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Elite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6870E945"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w:t>
            </w:r>
          </w:p>
        </w:tc>
      </w:tr>
      <w:tr w:rsidR="00193A6B" w:rsidRPr="005D5AC4" w14:paraId="2B0E5D8B" w14:textId="77777777" w:rsidTr="005D5AC4">
        <w:trPr>
          <w:trHeight w:val="290"/>
        </w:trPr>
        <w:tc>
          <w:tcPr>
            <w:tcW w:w="211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C112F2"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Swimming</w:t>
            </w:r>
          </w:p>
        </w:tc>
        <w:tc>
          <w:tcPr>
            <w:tcW w:w="2497" w:type="dxa"/>
            <w:tcBorders>
              <w:top w:val="nil"/>
              <w:left w:val="nil"/>
              <w:bottom w:val="single" w:sz="4" w:space="0" w:color="auto"/>
              <w:right w:val="single" w:sz="4" w:space="0" w:color="auto"/>
            </w:tcBorders>
            <w:shd w:val="clear" w:color="auto" w:fill="auto"/>
            <w:noWrap/>
            <w:vAlign w:val="bottom"/>
            <w:hideMark/>
          </w:tcPr>
          <w:p w14:paraId="65009AA4"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Elite &amp; Junior </w:t>
            </w:r>
          </w:p>
        </w:tc>
        <w:tc>
          <w:tcPr>
            <w:tcW w:w="1730" w:type="dxa"/>
            <w:tcBorders>
              <w:top w:val="nil"/>
              <w:left w:val="nil"/>
              <w:bottom w:val="single" w:sz="4" w:space="0" w:color="auto"/>
              <w:right w:val="single" w:sz="4" w:space="0" w:color="auto"/>
            </w:tcBorders>
            <w:shd w:val="clear" w:color="auto" w:fill="auto"/>
            <w:noWrap/>
            <w:vAlign w:val="bottom"/>
            <w:hideMark/>
          </w:tcPr>
          <w:p w14:paraId="63395F6A"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w:t>
            </w:r>
          </w:p>
        </w:tc>
      </w:tr>
      <w:tr w:rsidR="00193A6B" w:rsidRPr="005D5AC4" w14:paraId="6145DF10" w14:textId="77777777" w:rsidTr="005D5AC4">
        <w:trPr>
          <w:trHeight w:val="290"/>
        </w:trPr>
        <w:tc>
          <w:tcPr>
            <w:tcW w:w="2116" w:type="dxa"/>
            <w:vMerge/>
            <w:tcBorders>
              <w:top w:val="nil"/>
              <w:left w:val="single" w:sz="4" w:space="0" w:color="auto"/>
              <w:bottom w:val="single" w:sz="4" w:space="0" w:color="000000"/>
              <w:right w:val="single" w:sz="4" w:space="0" w:color="auto"/>
            </w:tcBorders>
            <w:vAlign w:val="center"/>
            <w:hideMark/>
          </w:tcPr>
          <w:p w14:paraId="612776E2" w14:textId="77777777" w:rsidR="00193A6B" w:rsidRPr="005D5AC4" w:rsidRDefault="00193A6B" w:rsidP="00193A6B">
            <w:pPr>
              <w:contextualSpacing/>
              <w:rPr>
                <w:rFonts w:eastAsia="Times New Roman" w:cstheme="minorHAnsi"/>
                <w:color w:val="000000"/>
                <w:sz w:val="24"/>
                <w:szCs w:val="24"/>
                <w:lang w:eastAsia="en-IN"/>
              </w:rPr>
            </w:pPr>
          </w:p>
        </w:tc>
        <w:tc>
          <w:tcPr>
            <w:tcW w:w="2497" w:type="dxa"/>
            <w:tcBorders>
              <w:top w:val="nil"/>
              <w:left w:val="nil"/>
              <w:bottom w:val="single" w:sz="4" w:space="0" w:color="auto"/>
              <w:right w:val="single" w:sz="4" w:space="0" w:color="auto"/>
            </w:tcBorders>
            <w:shd w:val="clear" w:color="auto" w:fill="auto"/>
            <w:noWrap/>
            <w:vAlign w:val="bottom"/>
            <w:hideMark/>
          </w:tcPr>
          <w:p w14:paraId="4208B0B1"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Junior</w:t>
            </w:r>
          </w:p>
        </w:tc>
        <w:tc>
          <w:tcPr>
            <w:tcW w:w="1730" w:type="dxa"/>
            <w:tcBorders>
              <w:top w:val="nil"/>
              <w:left w:val="nil"/>
              <w:bottom w:val="single" w:sz="4" w:space="0" w:color="auto"/>
              <w:right w:val="single" w:sz="4" w:space="0" w:color="auto"/>
            </w:tcBorders>
            <w:shd w:val="clear" w:color="auto" w:fill="auto"/>
            <w:noWrap/>
            <w:vAlign w:val="bottom"/>
            <w:hideMark/>
          </w:tcPr>
          <w:p w14:paraId="626F420D"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Female </w:t>
            </w:r>
          </w:p>
        </w:tc>
      </w:tr>
      <w:tr w:rsidR="00193A6B" w:rsidRPr="005D5AC4" w14:paraId="2EA273EC" w14:textId="77777777" w:rsidTr="005D5AC4">
        <w:trPr>
          <w:trHeight w:val="29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508B49B2"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Archery</w:t>
            </w:r>
          </w:p>
        </w:tc>
        <w:tc>
          <w:tcPr>
            <w:tcW w:w="2497" w:type="dxa"/>
            <w:tcBorders>
              <w:top w:val="nil"/>
              <w:left w:val="nil"/>
              <w:bottom w:val="single" w:sz="4" w:space="0" w:color="auto"/>
              <w:right w:val="single" w:sz="4" w:space="0" w:color="auto"/>
            </w:tcBorders>
            <w:shd w:val="clear" w:color="auto" w:fill="auto"/>
            <w:noWrap/>
            <w:vAlign w:val="bottom"/>
            <w:hideMark/>
          </w:tcPr>
          <w:p w14:paraId="0A970630"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Budding &amp; Junior</w:t>
            </w:r>
          </w:p>
        </w:tc>
        <w:tc>
          <w:tcPr>
            <w:tcW w:w="1730" w:type="dxa"/>
            <w:tcBorders>
              <w:top w:val="nil"/>
              <w:left w:val="nil"/>
              <w:bottom w:val="single" w:sz="4" w:space="0" w:color="auto"/>
              <w:right w:val="single" w:sz="4" w:space="0" w:color="auto"/>
            </w:tcBorders>
            <w:shd w:val="clear" w:color="auto" w:fill="auto"/>
            <w:noWrap/>
            <w:vAlign w:val="bottom"/>
            <w:hideMark/>
          </w:tcPr>
          <w:p w14:paraId="5ED50EB7" w14:textId="77777777" w:rsidR="00193A6B" w:rsidRPr="005D5AC4" w:rsidRDefault="00193A6B" w:rsidP="00193A6B">
            <w:pPr>
              <w:contextualSpacing/>
              <w:rPr>
                <w:rFonts w:eastAsia="Times New Roman" w:cstheme="minorHAnsi"/>
                <w:color w:val="000000"/>
                <w:sz w:val="24"/>
                <w:szCs w:val="24"/>
                <w:lang w:eastAsia="en-IN"/>
              </w:rPr>
            </w:pPr>
            <w:r w:rsidRPr="005D5AC4">
              <w:rPr>
                <w:rFonts w:eastAsia="Times New Roman" w:cstheme="minorHAnsi"/>
                <w:color w:val="000000"/>
                <w:sz w:val="24"/>
                <w:szCs w:val="24"/>
                <w:lang w:eastAsia="en-IN"/>
              </w:rPr>
              <w:t xml:space="preserve">Male &amp; Female </w:t>
            </w:r>
          </w:p>
        </w:tc>
      </w:tr>
    </w:tbl>
    <w:p w14:paraId="1854291C" w14:textId="77777777" w:rsidR="00193A6B" w:rsidRPr="005D5AC4" w:rsidRDefault="00193A6B" w:rsidP="00037B25">
      <w:pPr>
        <w:jc w:val="both"/>
        <w:rPr>
          <w:rFonts w:cstheme="minorHAnsi"/>
          <w:sz w:val="24"/>
          <w:szCs w:val="24"/>
          <w:lang w:val="en-IN"/>
        </w:rPr>
      </w:pPr>
    </w:p>
    <w:p w14:paraId="66E0EC94" w14:textId="3C876062" w:rsidR="00037B25" w:rsidRPr="00037B25" w:rsidRDefault="00037B25" w:rsidP="00037B25">
      <w:pPr>
        <w:jc w:val="both"/>
        <w:rPr>
          <w:sz w:val="24"/>
          <w:szCs w:val="24"/>
          <w:lang w:val="en-IN"/>
        </w:rPr>
      </w:pPr>
      <w:r w:rsidRPr="00037B25">
        <w:rPr>
          <w:sz w:val="24"/>
          <w:szCs w:val="24"/>
          <w:lang w:val="en-IN"/>
        </w:rPr>
        <w:t xml:space="preserve">Eligible applicants must be resident Indian citizens and not hold any other scholarship. The deadline for applications is </w:t>
      </w:r>
      <w:r w:rsidRPr="00037B25">
        <w:rPr>
          <w:b/>
          <w:bCs/>
          <w:sz w:val="24"/>
          <w:szCs w:val="24"/>
          <w:lang w:val="en-IN"/>
        </w:rPr>
        <w:t>April 16, 2025</w:t>
      </w:r>
      <w:r w:rsidRPr="00037B25">
        <w:rPr>
          <w:sz w:val="24"/>
          <w:szCs w:val="24"/>
          <w:lang w:val="en-IN"/>
        </w:rPr>
        <w:t>.</w:t>
      </w:r>
    </w:p>
    <w:p w14:paraId="1992CCE9" w14:textId="77777777" w:rsidR="00037B25" w:rsidRPr="00037B25" w:rsidRDefault="00037B25" w:rsidP="00037B25">
      <w:pPr>
        <w:jc w:val="both"/>
        <w:rPr>
          <w:sz w:val="24"/>
          <w:szCs w:val="24"/>
          <w:lang w:val="en-IN"/>
        </w:rPr>
      </w:pPr>
    </w:p>
    <w:p w14:paraId="5DE0CB9F" w14:textId="376106E9" w:rsidR="00037B25" w:rsidRPr="00037B25" w:rsidRDefault="00037B25" w:rsidP="00037B25">
      <w:pPr>
        <w:jc w:val="both"/>
        <w:rPr>
          <w:sz w:val="24"/>
          <w:szCs w:val="24"/>
          <w:lang w:val="en-IN"/>
        </w:rPr>
      </w:pPr>
      <w:r w:rsidRPr="00037B25">
        <w:rPr>
          <w:sz w:val="24"/>
          <w:szCs w:val="24"/>
          <w:lang w:val="en-IN"/>
        </w:rPr>
        <w:t xml:space="preserve">For more information and details on the application process, please visit our website: </w:t>
      </w:r>
      <w:hyperlink r:id="rId10" w:history="1">
        <w:r w:rsidRPr="00037B25">
          <w:rPr>
            <w:rStyle w:val="Hyperlink"/>
            <w:sz w:val="24"/>
            <w:szCs w:val="24"/>
            <w:lang w:val="en-IN"/>
          </w:rPr>
          <w:t>https://www.bharatpetroleum.in/Careers/Sports/Scholarship.aspx</w:t>
        </w:r>
      </w:hyperlink>
      <w:r w:rsidRPr="00037B25">
        <w:rPr>
          <w:sz w:val="24"/>
          <w:szCs w:val="24"/>
          <w:lang w:val="en-IN"/>
        </w:rPr>
        <w:t xml:space="preserve"> </w:t>
      </w:r>
    </w:p>
    <w:p w14:paraId="2E4C9995" w14:textId="77777777" w:rsidR="00037B25" w:rsidRPr="00037B25" w:rsidRDefault="00037B25" w:rsidP="00037B25">
      <w:pPr>
        <w:contextualSpacing/>
        <w:rPr>
          <w:sz w:val="24"/>
          <w:szCs w:val="24"/>
        </w:rPr>
      </w:pPr>
    </w:p>
    <w:p w14:paraId="4BACB15C" w14:textId="77777777" w:rsidR="00037B25" w:rsidRPr="001B3ED9" w:rsidRDefault="00037B25" w:rsidP="00037B25">
      <w:pPr>
        <w:contextualSpacing/>
        <w:jc w:val="both"/>
        <w:rPr>
          <w:rFonts w:ascii="Calibri" w:hAnsi="Calibri" w:cs="Calibri"/>
          <w:b/>
          <w:bCs/>
          <w:sz w:val="20"/>
          <w:szCs w:val="20"/>
        </w:rPr>
      </w:pPr>
      <w:r w:rsidRPr="001B3ED9">
        <w:rPr>
          <w:rFonts w:ascii="Calibri" w:hAnsi="Calibri" w:cs="Calibri"/>
          <w:b/>
          <w:bCs/>
          <w:sz w:val="20"/>
          <w:szCs w:val="20"/>
        </w:rPr>
        <w:t xml:space="preserve">About Bharat Petroleum Corporation Ltd. (BPCL): </w:t>
      </w:r>
    </w:p>
    <w:p w14:paraId="3B1CF428" w14:textId="77777777" w:rsidR="00037B25" w:rsidRPr="00193A6B" w:rsidRDefault="00037B25" w:rsidP="00037B25">
      <w:pPr>
        <w:pBdr>
          <w:top w:val="nil"/>
          <w:left w:val="nil"/>
          <w:bottom w:val="nil"/>
          <w:right w:val="nil"/>
          <w:between w:val="nil"/>
        </w:pBdr>
        <w:contextualSpacing/>
        <w:jc w:val="both"/>
        <w:rPr>
          <w:rFonts w:ascii="Calibri" w:hAnsi="Calibri" w:cs="Calibri"/>
          <w:sz w:val="20"/>
          <w:szCs w:val="20"/>
        </w:rPr>
      </w:pPr>
      <w:r w:rsidRPr="00193A6B">
        <w:rPr>
          <w:rFonts w:ascii="Calibri" w:hAnsi="Calibri" w:cs="Calibri"/>
          <w:sz w:val="20"/>
          <w:szCs w:val="20"/>
        </w:rPr>
        <w:t xml:space="preserve">Fortune Global 500 Company, Bharat Petroleum is the second largest Indian Oil Marketing Company and one of the integrated energy companies in India, engaged in refining of crude oil and marketing of petroleum products, with presence in the upstream and downstream sectors of the oil and gas industry. The company attained the coveted </w:t>
      </w:r>
      <w:proofErr w:type="spellStart"/>
      <w:r w:rsidRPr="00193A6B">
        <w:rPr>
          <w:rFonts w:ascii="Calibri" w:hAnsi="Calibri" w:cs="Calibri"/>
          <w:sz w:val="20"/>
          <w:szCs w:val="20"/>
        </w:rPr>
        <w:t>Maharatna</w:t>
      </w:r>
      <w:proofErr w:type="spellEnd"/>
      <w:r w:rsidRPr="00193A6B">
        <w:rPr>
          <w:rFonts w:ascii="Calibri" w:hAnsi="Calibri" w:cs="Calibri"/>
          <w:sz w:val="20"/>
          <w:szCs w:val="20"/>
        </w:rPr>
        <w:t xml:space="preserve"> status, joining the club of companies having greater operational &amp; financial autonomy.</w:t>
      </w:r>
    </w:p>
    <w:p w14:paraId="60CF8549" w14:textId="77777777" w:rsidR="00037B25" w:rsidRPr="00193A6B" w:rsidRDefault="00037B25" w:rsidP="00037B25">
      <w:pPr>
        <w:contextualSpacing/>
        <w:jc w:val="both"/>
        <w:rPr>
          <w:rFonts w:ascii="Calibri" w:hAnsi="Calibri" w:cs="Calibri"/>
          <w:sz w:val="20"/>
          <w:szCs w:val="20"/>
        </w:rPr>
      </w:pPr>
    </w:p>
    <w:p w14:paraId="14392ACC" w14:textId="77777777" w:rsidR="00037B25" w:rsidRPr="00193A6B" w:rsidRDefault="00037B25" w:rsidP="00037B25">
      <w:pPr>
        <w:contextualSpacing/>
        <w:jc w:val="both"/>
        <w:rPr>
          <w:rFonts w:ascii="Calibri" w:hAnsi="Calibri" w:cs="Calibri"/>
          <w:sz w:val="20"/>
          <w:szCs w:val="20"/>
        </w:rPr>
      </w:pPr>
      <w:r w:rsidRPr="00193A6B">
        <w:rPr>
          <w:rFonts w:ascii="Calibri" w:hAnsi="Calibri" w:cs="Calibri"/>
          <w:sz w:val="20"/>
          <w:szCs w:val="20"/>
        </w:rPr>
        <w:t>Bharat Petroleum’s Refineries at Mumbai, Kochi and Bina have a combined refining capacity of around 35.3 MMTPA. Its marketing infrastructure includes a network of installations, depots, fuel stations, aviation service stations and LPG distributors. Its distribution network comprises over 23,500+ Fuel Stations, over 6,200+ LPG distributorships, 500+ Lubes distributorships, 80 POL storage locations, 54 LPG Bottling Plants, 79 Aviation Service Stations, 5 Lube blending plants and 5 cross-country pipelines.</w:t>
      </w:r>
    </w:p>
    <w:p w14:paraId="702B8F73" w14:textId="77777777" w:rsidR="00037B25" w:rsidRPr="00193A6B" w:rsidRDefault="00037B25" w:rsidP="00037B25">
      <w:pPr>
        <w:contextualSpacing/>
        <w:jc w:val="both"/>
        <w:rPr>
          <w:rFonts w:ascii="Calibri" w:hAnsi="Calibri" w:cs="Calibri"/>
          <w:sz w:val="20"/>
          <w:szCs w:val="20"/>
        </w:rPr>
      </w:pPr>
    </w:p>
    <w:p w14:paraId="522B2996" w14:textId="77777777" w:rsidR="00037B25" w:rsidRPr="00193A6B" w:rsidRDefault="00037B25" w:rsidP="00037B25">
      <w:pPr>
        <w:contextualSpacing/>
        <w:jc w:val="both"/>
        <w:rPr>
          <w:rFonts w:ascii="Calibri" w:hAnsi="Calibri" w:cs="Calibri"/>
          <w:sz w:val="20"/>
          <w:szCs w:val="20"/>
        </w:rPr>
      </w:pPr>
      <w:r w:rsidRPr="00193A6B">
        <w:rPr>
          <w:rFonts w:ascii="Calibri" w:hAnsi="Calibri" w:cs="Calibri"/>
          <w:sz w:val="20"/>
          <w:szCs w:val="20"/>
        </w:rPr>
        <w:t>Bharat Petroleum is integrating its strategy, investments, environmental and social ambitions to move towards a sustainable planet. The company has Electric vehicle charging stations at 6500+ Fuel Stations.</w:t>
      </w:r>
    </w:p>
    <w:p w14:paraId="5CE72E3E" w14:textId="77777777" w:rsidR="00037B25" w:rsidRPr="00193A6B" w:rsidRDefault="00037B25" w:rsidP="00037B25">
      <w:pPr>
        <w:contextualSpacing/>
        <w:jc w:val="both"/>
        <w:rPr>
          <w:rFonts w:ascii="Calibri" w:hAnsi="Calibri" w:cs="Calibri"/>
          <w:sz w:val="20"/>
          <w:szCs w:val="20"/>
        </w:rPr>
      </w:pPr>
    </w:p>
    <w:p w14:paraId="2BE5D6B1" w14:textId="77777777" w:rsidR="00037B25" w:rsidRPr="001B3ED9" w:rsidRDefault="00037B25" w:rsidP="00037B25">
      <w:pPr>
        <w:contextualSpacing/>
        <w:jc w:val="both"/>
        <w:rPr>
          <w:rFonts w:ascii="Calibri" w:hAnsi="Calibri" w:cs="Calibri"/>
          <w:sz w:val="20"/>
          <w:szCs w:val="20"/>
        </w:rPr>
      </w:pPr>
      <w:r w:rsidRPr="00193A6B">
        <w:rPr>
          <w:rFonts w:ascii="Calibri" w:hAnsi="Calibri" w:cs="Calibri"/>
          <w:sz w:val="20"/>
          <w:szCs w:val="20"/>
        </w:rPr>
        <w:t>With a focus on sustainable solutions, the company is developing an ecosystem and a road-map to become a Net Zero Energy Company by 2040, in Scope 1 and Scope 2 emissions. Bharat Petroleum has been partnering communities by supporting several initiatives connected primarily in the areas of education, water conservation, skill development, health, community development, capacity building and employee volunteering. With ‘</w:t>
      </w:r>
      <w:proofErr w:type="spellStart"/>
      <w:r w:rsidRPr="00193A6B">
        <w:rPr>
          <w:rFonts w:ascii="Calibri" w:hAnsi="Calibri" w:cs="Calibri"/>
          <w:sz w:val="20"/>
          <w:szCs w:val="20"/>
        </w:rPr>
        <w:t>Energising</w:t>
      </w:r>
      <w:proofErr w:type="spellEnd"/>
      <w:r w:rsidRPr="00193A6B">
        <w:rPr>
          <w:rFonts w:ascii="Calibri" w:hAnsi="Calibri" w:cs="Calibri"/>
          <w:sz w:val="20"/>
          <w:szCs w:val="20"/>
        </w:rPr>
        <w:t xml:space="preserve"> Lives’ as its core purpose, Bharat Petroleum’s vision is to be an admired global energy company leveraging talent, innovation &amp; technology.</w:t>
      </w:r>
    </w:p>
    <w:p w14:paraId="2B6A19CC" w14:textId="77777777" w:rsidR="00037B25" w:rsidRDefault="00037B25" w:rsidP="00037B25">
      <w:pPr>
        <w:contextualSpacing/>
        <w:jc w:val="both"/>
        <w:rPr>
          <w:rFonts w:ascii="Calibri" w:hAnsi="Calibri" w:cs="Calibri"/>
          <w:sz w:val="20"/>
          <w:szCs w:val="20"/>
        </w:rPr>
      </w:pPr>
    </w:p>
    <w:p w14:paraId="206C6441" w14:textId="77777777" w:rsidR="00037B25" w:rsidRPr="001B3ED9" w:rsidRDefault="00037B25" w:rsidP="00037B25">
      <w:pPr>
        <w:contextualSpacing/>
        <w:jc w:val="both"/>
        <w:rPr>
          <w:rFonts w:ascii="Calibri" w:hAnsi="Calibri" w:cs="Calibri"/>
          <w:sz w:val="20"/>
          <w:szCs w:val="20"/>
        </w:rPr>
      </w:pPr>
    </w:p>
    <w:p w14:paraId="794ECD7A" w14:textId="77777777" w:rsidR="00037B25" w:rsidRPr="001B3ED9" w:rsidRDefault="00037B25" w:rsidP="00037B25">
      <w:pPr>
        <w:jc w:val="both"/>
        <w:rPr>
          <w:rFonts w:ascii="Calibri" w:hAnsi="Calibri" w:cs="Calibri"/>
          <w:b/>
          <w:bCs/>
          <w:sz w:val="20"/>
          <w:szCs w:val="20"/>
        </w:rPr>
      </w:pPr>
      <w:r w:rsidRPr="001B3ED9">
        <w:rPr>
          <w:rFonts w:ascii="Calibri" w:hAnsi="Calibri" w:cs="Calibri"/>
          <w:b/>
          <w:bCs/>
          <w:sz w:val="20"/>
          <w:szCs w:val="20"/>
        </w:rPr>
        <w:t>For further details, please get in touch with;</w:t>
      </w:r>
    </w:p>
    <w:p w14:paraId="5F2DC68B" w14:textId="77777777" w:rsidR="00037B25" w:rsidRPr="001B3ED9" w:rsidRDefault="00037B25" w:rsidP="00037B25">
      <w:pPr>
        <w:contextualSpacing/>
        <w:jc w:val="both"/>
        <w:rPr>
          <w:rFonts w:ascii="Calibri" w:hAnsi="Calibri" w:cs="Calibri"/>
          <w:b/>
          <w:bCs/>
          <w:sz w:val="20"/>
          <w:szCs w:val="20"/>
        </w:rPr>
      </w:pPr>
    </w:p>
    <w:p w14:paraId="7A269AD5" w14:textId="77777777" w:rsidR="00037B25" w:rsidRPr="001B3ED9" w:rsidRDefault="00037B25" w:rsidP="00037B25">
      <w:pPr>
        <w:jc w:val="both"/>
        <w:rPr>
          <w:rFonts w:ascii="Calibri" w:hAnsi="Calibri" w:cs="Calibri"/>
          <w:b/>
          <w:bCs/>
          <w:sz w:val="20"/>
          <w:szCs w:val="20"/>
        </w:rPr>
      </w:pPr>
    </w:p>
    <w:tbl>
      <w:tblPr>
        <w:tblStyle w:val="TableGrid"/>
        <w:tblpPr w:leftFromText="180" w:rightFromText="180" w:vertAnchor="text" w:horzAnchor="margin" w:tblpY="-3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37B25" w:rsidRPr="001B3ED9" w14:paraId="255D6F39" w14:textId="77777777" w:rsidTr="000D3DC5">
        <w:tc>
          <w:tcPr>
            <w:tcW w:w="4508" w:type="dxa"/>
          </w:tcPr>
          <w:p w14:paraId="360EE380" w14:textId="77777777" w:rsidR="00037B25" w:rsidRPr="001B3ED9" w:rsidRDefault="00037B25" w:rsidP="000D3DC5">
            <w:pPr>
              <w:jc w:val="both"/>
              <w:rPr>
                <w:rFonts w:ascii="Calibri" w:hAnsi="Calibri" w:cs="Calibri"/>
                <w:sz w:val="20"/>
                <w:szCs w:val="20"/>
              </w:rPr>
            </w:pPr>
            <w:hyperlink r:id="rId11" w:history="1">
              <w:r w:rsidRPr="001B3ED9">
                <w:rPr>
                  <w:rStyle w:val="Hyperlink"/>
                  <w:rFonts w:ascii="Calibri" w:hAnsi="Calibri" w:cs="Calibri"/>
                  <w:sz w:val="20"/>
                  <w:szCs w:val="20"/>
                </w:rPr>
                <w:t>S. Abbas Akhtar</w:t>
              </w:r>
            </w:hyperlink>
            <w:r w:rsidRPr="001B3ED9">
              <w:rPr>
                <w:rFonts w:ascii="Calibri" w:hAnsi="Calibri" w:cs="Calibri"/>
                <w:sz w:val="20"/>
                <w:szCs w:val="20"/>
              </w:rPr>
              <w:t xml:space="preserve">,                                               </w:t>
            </w:r>
          </w:p>
          <w:p w14:paraId="743A84BB" w14:textId="77777777" w:rsidR="00037B25" w:rsidRPr="001B3ED9" w:rsidRDefault="00037B25" w:rsidP="000D3DC5">
            <w:pPr>
              <w:jc w:val="both"/>
              <w:rPr>
                <w:rFonts w:ascii="Calibri" w:hAnsi="Calibri" w:cs="Calibri"/>
                <w:sz w:val="20"/>
                <w:szCs w:val="20"/>
              </w:rPr>
            </w:pPr>
            <w:r w:rsidRPr="001B3ED9">
              <w:rPr>
                <w:rFonts w:ascii="Calibri" w:hAnsi="Calibri" w:cs="Calibri"/>
                <w:sz w:val="20"/>
                <w:szCs w:val="20"/>
              </w:rPr>
              <w:t xml:space="preserve">Executive Director (PR &amp; Brand),                  </w:t>
            </w:r>
          </w:p>
          <w:p w14:paraId="0402F4F8" w14:textId="77777777" w:rsidR="00037B25" w:rsidRPr="001B3ED9" w:rsidRDefault="00037B25" w:rsidP="000D3DC5">
            <w:pPr>
              <w:jc w:val="both"/>
              <w:rPr>
                <w:rFonts w:ascii="Calibri" w:hAnsi="Calibri" w:cs="Calibri"/>
                <w:sz w:val="20"/>
                <w:szCs w:val="20"/>
              </w:rPr>
            </w:pPr>
            <w:r w:rsidRPr="001B3ED9">
              <w:rPr>
                <w:rFonts w:ascii="Calibri" w:hAnsi="Calibri" w:cs="Calibri"/>
                <w:sz w:val="20"/>
                <w:szCs w:val="20"/>
              </w:rPr>
              <w:t xml:space="preserve">Email: </w:t>
            </w:r>
            <w:hyperlink r:id="rId12" w:history="1">
              <w:r w:rsidRPr="001B3ED9">
                <w:rPr>
                  <w:rStyle w:val="Hyperlink"/>
                  <w:rFonts w:ascii="Calibri" w:hAnsi="Calibri" w:cs="Calibri"/>
                  <w:sz w:val="20"/>
                  <w:szCs w:val="20"/>
                </w:rPr>
                <w:t>akhtars@bharatpetroleum.in</w:t>
              </w:r>
            </w:hyperlink>
            <w:r w:rsidRPr="001B3ED9">
              <w:rPr>
                <w:rFonts w:ascii="Calibri" w:hAnsi="Calibri" w:cs="Calibri"/>
                <w:sz w:val="20"/>
                <w:szCs w:val="20"/>
              </w:rPr>
              <w:t>  </w:t>
            </w:r>
          </w:p>
          <w:p w14:paraId="007C8B77" w14:textId="77777777" w:rsidR="00037B25" w:rsidRPr="001B3ED9" w:rsidRDefault="00037B25" w:rsidP="000D3DC5">
            <w:pPr>
              <w:jc w:val="both"/>
              <w:rPr>
                <w:rFonts w:ascii="Calibri" w:hAnsi="Calibri" w:cs="Calibri"/>
                <w:sz w:val="20"/>
                <w:szCs w:val="20"/>
              </w:rPr>
            </w:pPr>
            <w:r w:rsidRPr="001B3ED9">
              <w:rPr>
                <w:rFonts w:ascii="Calibri" w:hAnsi="Calibri" w:cs="Calibri"/>
                <w:sz w:val="20"/>
                <w:szCs w:val="20"/>
              </w:rPr>
              <w:t xml:space="preserve">Phone: +91 22 22713340 </w:t>
            </w:r>
          </w:p>
          <w:p w14:paraId="44FEFEA4" w14:textId="77777777" w:rsidR="00037B25" w:rsidRPr="001B3ED9" w:rsidRDefault="00037B25" w:rsidP="000D3DC5">
            <w:pPr>
              <w:jc w:val="both"/>
              <w:rPr>
                <w:rFonts w:ascii="Calibri" w:hAnsi="Calibri" w:cs="Calibri"/>
                <w:sz w:val="20"/>
                <w:szCs w:val="20"/>
              </w:rPr>
            </w:pPr>
          </w:p>
          <w:p w14:paraId="057BAC14" w14:textId="77777777" w:rsidR="00037B25" w:rsidRPr="001B3ED9" w:rsidRDefault="00037B25" w:rsidP="000D3DC5">
            <w:pPr>
              <w:jc w:val="both"/>
              <w:rPr>
                <w:rFonts w:ascii="Calibri" w:hAnsi="Calibri" w:cs="Calibri"/>
                <w:sz w:val="20"/>
                <w:szCs w:val="20"/>
              </w:rPr>
            </w:pPr>
            <w:hyperlink r:id="rId13" w:history="1">
              <w:r w:rsidRPr="001B3ED9">
                <w:rPr>
                  <w:rStyle w:val="Hyperlink"/>
                  <w:rFonts w:ascii="Calibri" w:hAnsi="Calibri" w:cs="Calibri"/>
                  <w:sz w:val="20"/>
                  <w:szCs w:val="20"/>
                </w:rPr>
                <w:t>Saurabh Jain</w:t>
              </w:r>
            </w:hyperlink>
            <w:r w:rsidRPr="001B3ED9">
              <w:rPr>
                <w:rFonts w:ascii="Calibri" w:hAnsi="Calibri" w:cs="Calibri"/>
                <w:sz w:val="20"/>
                <w:szCs w:val="20"/>
              </w:rPr>
              <w:t>,</w:t>
            </w:r>
          </w:p>
          <w:p w14:paraId="748539AE" w14:textId="77777777" w:rsidR="00037B25" w:rsidRPr="001B3ED9" w:rsidRDefault="00037B25" w:rsidP="000D3DC5">
            <w:pPr>
              <w:jc w:val="both"/>
              <w:rPr>
                <w:rFonts w:ascii="Calibri" w:hAnsi="Calibri" w:cs="Calibri"/>
                <w:sz w:val="20"/>
                <w:szCs w:val="20"/>
              </w:rPr>
            </w:pPr>
            <w:r w:rsidRPr="001B3ED9">
              <w:rPr>
                <w:rFonts w:ascii="Calibri" w:hAnsi="Calibri" w:cs="Calibri"/>
                <w:sz w:val="20"/>
                <w:szCs w:val="20"/>
              </w:rPr>
              <w:t>Deputy General Manager (PR &amp; Brand)</w:t>
            </w:r>
          </w:p>
          <w:p w14:paraId="3602ADD1" w14:textId="77777777" w:rsidR="00037B25" w:rsidRPr="001B3ED9" w:rsidRDefault="00037B25" w:rsidP="000D3DC5">
            <w:pPr>
              <w:jc w:val="both"/>
              <w:rPr>
                <w:rFonts w:ascii="Calibri" w:hAnsi="Calibri" w:cs="Calibri"/>
                <w:sz w:val="20"/>
                <w:szCs w:val="20"/>
              </w:rPr>
            </w:pPr>
            <w:r w:rsidRPr="001B3ED9">
              <w:rPr>
                <w:rFonts w:ascii="Calibri" w:hAnsi="Calibri" w:cs="Calibri"/>
                <w:sz w:val="20"/>
                <w:szCs w:val="20"/>
              </w:rPr>
              <w:t xml:space="preserve">Email: </w:t>
            </w:r>
            <w:hyperlink r:id="rId14" w:history="1">
              <w:r w:rsidRPr="001B3ED9">
                <w:rPr>
                  <w:rStyle w:val="Hyperlink"/>
                  <w:rFonts w:ascii="Calibri" w:hAnsi="Calibri" w:cs="Calibri"/>
                  <w:sz w:val="20"/>
                  <w:szCs w:val="20"/>
                </w:rPr>
                <w:t>jains4512@bharatpetroleum.in</w:t>
              </w:r>
            </w:hyperlink>
          </w:p>
          <w:p w14:paraId="1FD2EA18" w14:textId="77777777" w:rsidR="00037B25" w:rsidRPr="001B3ED9" w:rsidRDefault="00037B25" w:rsidP="000D3DC5">
            <w:pPr>
              <w:jc w:val="both"/>
              <w:rPr>
                <w:rFonts w:ascii="Calibri" w:hAnsi="Calibri" w:cs="Calibri"/>
                <w:b/>
                <w:bCs/>
                <w:sz w:val="20"/>
                <w:szCs w:val="20"/>
                <w:u w:val="single"/>
              </w:rPr>
            </w:pPr>
            <w:r w:rsidRPr="001B3ED9">
              <w:rPr>
                <w:rFonts w:ascii="Calibri" w:hAnsi="Calibri" w:cs="Calibri"/>
                <w:sz w:val="20"/>
                <w:szCs w:val="20"/>
              </w:rPr>
              <w:t>Phone: + 91 9895095210</w:t>
            </w:r>
          </w:p>
        </w:tc>
        <w:tc>
          <w:tcPr>
            <w:tcW w:w="4508" w:type="dxa"/>
          </w:tcPr>
          <w:p w14:paraId="796B52E9" w14:textId="77777777" w:rsidR="00037B25" w:rsidRPr="001B3ED9" w:rsidRDefault="00037B25" w:rsidP="000D3DC5">
            <w:pPr>
              <w:contextualSpacing/>
              <w:jc w:val="both"/>
              <w:rPr>
                <w:rFonts w:ascii="Calibri" w:hAnsi="Calibri" w:cs="Calibri"/>
                <w:sz w:val="20"/>
                <w:szCs w:val="20"/>
              </w:rPr>
            </w:pPr>
            <w:r w:rsidRPr="001B3ED9">
              <w:rPr>
                <w:rFonts w:ascii="Calibri" w:hAnsi="Calibri" w:cs="Calibri"/>
                <w:sz w:val="20"/>
                <w:szCs w:val="20"/>
              </w:rPr>
              <w:t>Priyanka Shinde</w:t>
            </w:r>
          </w:p>
          <w:p w14:paraId="2558BDB1" w14:textId="77777777" w:rsidR="00037B25" w:rsidRPr="001B3ED9" w:rsidRDefault="00037B25" w:rsidP="000D3DC5">
            <w:pPr>
              <w:contextualSpacing/>
              <w:jc w:val="both"/>
              <w:rPr>
                <w:rFonts w:ascii="Calibri" w:hAnsi="Calibri" w:cs="Calibri"/>
                <w:sz w:val="20"/>
                <w:szCs w:val="20"/>
              </w:rPr>
            </w:pPr>
            <w:r w:rsidRPr="001B3ED9">
              <w:rPr>
                <w:rFonts w:ascii="Calibri" w:hAnsi="Calibri" w:cs="Calibri"/>
                <w:sz w:val="20"/>
                <w:szCs w:val="20"/>
              </w:rPr>
              <w:t>M: +91 84335 78070</w:t>
            </w:r>
          </w:p>
          <w:p w14:paraId="5871EB51" w14:textId="77777777" w:rsidR="00037B25" w:rsidRPr="001B3ED9" w:rsidRDefault="00037B25" w:rsidP="000D3DC5">
            <w:pPr>
              <w:contextualSpacing/>
              <w:jc w:val="both"/>
              <w:rPr>
                <w:rFonts w:ascii="Calibri" w:hAnsi="Calibri" w:cs="Calibri"/>
                <w:sz w:val="20"/>
                <w:szCs w:val="20"/>
              </w:rPr>
            </w:pPr>
            <w:r w:rsidRPr="001B3ED9">
              <w:rPr>
                <w:rFonts w:ascii="Calibri" w:hAnsi="Calibri" w:cs="Calibri"/>
                <w:sz w:val="20"/>
                <w:szCs w:val="20"/>
              </w:rPr>
              <w:t xml:space="preserve">E: </w:t>
            </w:r>
            <w:hyperlink r:id="rId15" w:history="1">
              <w:r w:rsidRPr="001B3ED9">
                <w:rPr>
                  <w:rStyle w:val="Hyperlink"/>
                  <w:rFonts w:ascii="Calibri" w:hAnsi="Calibri" w:cs="Calibri"/>
                  <w:sz w:val="20"/>
                  <w:szCs w:val="20"/>
                </w:rPr>
                <w:t>priyanka.shinde@conceptpr.com</w:t>
              </w:r>
            </w:hyperlink>
          </w:p>
        </w:tc>
      </w:tr>
    </w:tbl>
    <w:p w14:paraId="0C80ADA9" w14:textId="77777777" w:rsidR="00037B25" w:rsidRDefault="00037B25" w:rsidP="00037B25">
      <w:pPr>
        <w:contextualSpacing/>
      </w:pPr>
    </w:p>
    <w:p w14:paraId="4BB6AE0F" w14:textId="77777777" w:rsidR="00037B25" w:rsidRPr="00037B25" w:rsidRDefault="00037B25"/>
    <w:sectPr w:rsidR="00037B25" w:rsidRPr="00037B2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F4DBF" w14:textId="77777777" w:rsidR="00234079" w:rsidRDefault="00234079" w:rsidP="005D5AC4">
      <w:r>
        <w:separator/>
      </w:r>
    </w:p>
  </w:endnote>
  <w:endnote w:type="continuationSeparator" w:id="0">
    <w:p w14:paraId="2BAF8C30" w14:textId="77777777" w:rsidR="00234079" w:rsidRDefault="00234079" w:rsidP="005D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881B" w14:textId="77777777" w:rsidR="00234079" w:rsidRDefault="00234079" w:rsidP="005D5AC4">
      <w:r>
        <w:separator/>
      </w:r>
    </w:p>
  </w:footnote>
  <w:footnote w:type="continuationSeparator" w:id="0">
    <w:p w14:paraId="4C819523" w14:textId="77777777" w:rsidR="00234079" w:rsidRDefault="00234079" w:rsidP="005D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E31F9" w14:textId="77777777" w:rsidR="005D5AC4" w:rsidRPr="0074279C" w:rsidRDefault="005D5AC4" w:rsidP="005D5AC4">
    <w:pPr>
      <w:rPr>
        <w:b/>
        <w:bCs/>
      </w:rPr>
    </w:pPr>
    <w:r>
      <w:rPr>
        <w:noProof/>
      </w:rPr>
      <w:drawing>
        <wp:anchor distT="0" distB="0" distL="114300" distR="114300" simplePos="0" relativeHeight="251659264" behindDoc="1" locked="0" layoutInCell="1" allowOverlap="1" wp14:anchorId="0AD19F3E" wp14:editId="26D6D070">
          <wp:simplePos x="0" y="0"/>
          <wp:positionH relativeFrom="margin">
            <wp:align>right</wp:align>
          </wp:positionH>
          <wp:positionV relativeFrom="paragraph">
            <wp:posOffset>7620</wp:posOffset>
          </wp:positionV>
          <wp:extent cx="1370330" cy="664214"/>
          <wp:effectExtent l="0" t="0" r="1270" b="2540"/>
          <wp:wrapTight wrapText="bothSides">
            <wp:wrapPolygon edited="0">
              <wp:start x="0" y="0"/>
              <wp:lineTo x="0" y="21063"/>
              <wp:lineTo x="15014" y="21063"/>
              <wp:lineTo x="21320" y="21063"/>
              <wp:lineTo x="21320" y="12390"/>
              <wp:lineTo x="17716" y="3717"/>
              <wp:lineTo x="15014" y="0"/>
              <wp:lineTo x="0" y="0"/>
            </wp:wrapPolygon>
          </wp:wrapTight>
          <wp:docPr id="216746675"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46675"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664214"/>
                  </a:xfrm>
                  <a:prstGeom prst="rect">
                    <a:avLst/>
                  </a:prstGeom>
                  <a:noFill/>
                  <a:ln>
                    <a:noFill/>
                  </a:ln>
                </pic:spPr>
              </pic:pic>
            </a:graphicData>
          </a:graphic>
        </wp:anchor>
      </w:drawing>
    </w:r>
    <w:r w:rsidRPr="0074279C">
      <w:rPr>
        <w:b/>
        <w:bCs/>
      </w:rPr>
      <w:t>PRESS RELEASE</w:t>
    </w:r>
  </w:p>
  <w:p w14:paraId="655FE5B0" w14:textId="77777777" w:rsidR="005D5AC4" w:rsidRDefault="005D5AC4" w:rsidP="005D5AC4">
    <w:pPr>
      <w:pStyle w:val="Header"/>
      <w:jc w:val="right"/>
    </w:pPr>
  </w:p>
  <w:p w14:paraId="2AFB6EAD" w14:textId="77777777" w:rsidR="005D5AC4" w:rsidRDefault="005D5AC4" w:rsidP="005D5AC4">
    <w:pPr>
      <w:pStyle w:val="Header"/>
    </w:pPr>
  </w:p>
  <w:p w14:paraId="5688AB3D" w14:textId="77777777" w:rsidR="005D5AC4" w:rsidRDefault="005D5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B4B603B"/>
    <w:multiLevelType w:val="multilevel"/>
    <w:tmpl w:val="0A8E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51261979">
    <w:abstractNumId w:val="20"/>
  </w:num>
  <w:num w:numId="2" w16cid:durableId="2016108350">
    <w:abstractNumId w:val="12"/>
  </w:num>
  <w:num w:numId="3" w16cid:durableId="851605017">
    <w:abstractNumId w:val="10"/>
  </w:num>
  <w:num w:numId="4" w16cid:durableId="1154375905">
    <w:abstractNumId w:val="22"/>
  </w:num>
  <w:num w:numId="5" w16cid:durableId="1700160371">
    <w:abstractNumId w:val="13"/>
  </w:num>
  <w:num w:numId="6" w16cid:durableId="170414599">
    <w:abstractNumId w:val="16"/>
  </w:num>
  <w:num w:numId="7" w16cid:durableId="224921883">
    <w:abstractNumId w:val="19"/>
  </w:num>
  <w:num w:numId="8" w16cid:durableId="848713034">
    <w:abstractNumId w:val="9"/>
  </w:num>
  <w:num w:numId="9" w16cid:durableId="595290900">
    <w:abstractNumId w:val="7"/>
  </w:num>
  <w:num w:numId="10" w16cid:durableId="2074233209">
    <w:abstractNumId w:val="6"/>
  </w:num>
  <w:num w:numId="11" w16cid:durableId="507334552">
    <w:abstractNumId w:val="5"/>
  </w:num>
  <w:num w:numId="12" w16cid:durableId="191765246">
    <w:abstractNumId w:val="4"/>
  </w:num>
  <w:num w:numId="13" w16cid:durableId="1289972651">
    <w:abstractNumId w:val="8"/>
  </w:num>
  <w:num w:numId="14" w16cid:durableId="161626599">
    <w:abstractNumId w:val="3"/>
  </w:num>
  <w:num w:numId="15" w16cid:durableId="1442335675">
    <w:abstractNumId w:val="2"/>
  </w:num>
  <w:num w:numId="16" w16cid:durableId="813303026">
    <w:abstractNumId w:val="1"/>
  </w:num>
  <w:num w:numId="17" w16cid:durableId="13770324">
    <w:abstractNumId w:val="0"/>
  </w:num>
  <w:num w:numId="18" w16cid:durableId="616714285">
    <w:abstractNumId w:val="14"/>
  </w:num>
  <w:num w:numId="19" w16cid:durableId="1478451444">
    <w:abstractNumId w:val="15"/>
  </w:num>
  <w:num w:numId="20" w16cid:durableId="1877430851">
    <w:abstractNumId w:val="21"/>
  </w:num>
  <w:num w:numId="21" w16cid:durableId="1094479195">
    <w:abstractNumId w:val="18"/>
  </w:num>
  <w:num w:numId="22" w16cid:durableId="1009257054">
    <w:abstractNumId w:val="11"/>
  </w:num>
  <w:num w:numId="23" w16cid:durableId="1029991156">
    <w:abstractNumId w:val="23"/>
  </w:num>
  <w:num w:numId="24" w16cid:durableId="1319387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25"/>
    <w:rsid w:val="00037B25"/>
    <w:rsid w:val="0010265A"/>
    <w:rsid w:val="001212F4"/>
    <w:rsid w:val="0015218A"/>
    <w:rsid w:val="00193A6B"/>
    <w:rsid w:val="001F0132"/>
    <w:rsid w:val="00234079"/>
    <w:rsid w:val="004F452C"/>
    <w:rsid w:val="005C6DDF"/>
    <w:rsid w:val="005D5AC4"/>
    <w:rsid w:val="00645252"/>
    <w:rsid w:val="006A5215"/>
    <w:rsid w:val="006D3D74"/>
    <w:rsid w:val="006F0B86"/>
    <w:rsid w:val="00777DB7"/>
    <w:rsid w:val="007F4B89"/>
    <w:rsid w:val="00833481"/>
    <w:rsid w:val="0083569A"/>
    <w:rsid w:val="008B2573"/>
    <w:rsid w:val="009E1AA0"/>
    <w:rsid w:val="00A83853"/>
    <w:rsid w:val="00A9204E"/>
    <w:rsid w:val="00AA43CB"/>
    <w:rsid w:val="00C934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292A"/>
  <w15:chartTrackingRefBased/>
  <w15:docId w15:val="{4598BA2D-96A2-46C8-9AD6-6E60BF94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037B25"/>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7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072801">
      <w:bodyDiv w:val="1"/>
      <w:marLeft w:val="0"/>
      <w:marRight w:val="0"/>
      <w:marTop w:val="0"/>
      <w:marBottom w:val="0"/>
      <w:divBdr>
        <w:top w:val="none" w:sz="0" w:space="0" w:color="auto"/>
        <w:left w:val="none" w:sz="0" w:space="0" w:color="auto"/>
        <w:bottom w:val="none" w:sz="0" w:space="0" w:color="auto"/>
        <w:right w:val="none" w:sz="0" w:space="0" w:color="auto"/>
      </w:divBdr>
    </w:div>
    <w:div w:id="104753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in/saurabh-jain-4b47061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khtars@bharatpetroleum.i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inkedin.com/in/abbas-akhtar-69b6a889" TargetMode="External"/><Relationship Id="rId5" Type="http://schemas.openxmlformats.org/officeDocument/2006/relationships/styles" Target="styles.xml"/><Relationship Id="rId15" Type="http://schemas.openxmlformats.org/officeDocument/2006/relationships/hyperlink" Target="mailto:priyanka.shinde@conceptpr.com" TargetMode="External"/><Relationship Id="rId10" Type="http://schemas.openxmlformats.org/officeDocument/2006/relationships/hyperlink" Target="https://www.bharatpetroleum.in/Careers/Sports/Scholarship.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ins4512@bharatpetroleum.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Local\Microsoft\Office\16.0\DTS\en-IN%7b0DF9CA09-1D61-4CAC-9C5D-42A1772D0324%7d\%7bA7D8010D-5D35-4B8F-AFA2-03D82F2E06E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{A7D8010D-5D35-4B8F-AFA2-03D82F2E06ED}tf02786999_win32</Template>
  <TotalTime>0</TotalTime>
  <Pages>3</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Sandesh Advani</dc:creator>
  <cp:keywords/>
  <dc:description/>
  <cp:lastModifiedBy>Sandesh Advani</cp:lastModifiedBy>
  <cp:revision>3</cp:revision>
  <dcterms:created xsi:type="dcterms:W3CDTF">2025-04-03T01:19:00Z</dcterms:created>
  <dcterms:modified xsi:type="dcterms:W3CDTF">2025-04-03T01:26:00Z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